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0000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200"/>
            </w:pPr>
            <w:r>
              <w:drawing>
                <wp:inline distT="0" distB="0" distL="0" distR="0">
                  <wp:extent cx="1809750" cy="6191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B9B4A8"/>
                <w:spacing w:val="8"/>
                <w:sz w:val="16"/>
                <w:szCs w:val="16"/>
              </w:rPr>
              <w:t xml:space="preserve">Мягкие эластичные резервуары ПЭР · полевые склады горючего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caps w:val="false"/>
          <w:color w:val="2B2B2B"/>
          <w:sz w:val="19"/>
          <w:szCs w:val="19"/>
        </w:rPr>
        <w:t xml:space="preserve"/>
      </w:r>
    </w:p>
    <w:p>
      <w:pPr>
        <w:spacing w:after="40" w:before="300"/>
      </w:pPr>
      <w:r>
        <w:rPr>
          <w:rFonts w:ascii="Arial" w:cs="Arial" w:eastAsia="Arial" w:hAnsi="Arial"/>
          <w:b/>
          <w:bCs/>
          <w:caps w:val="false"/>
          <w:color w:val="141417"/>
          <w:spacing w:val="30"/>
          <w:sz w:val="30"/>
          <w:szCs w:val="30"/>
        </w:rPr>
        <w:t xml:space="preserve">ОПРОСНЫЙ ЛИСТ</w:t>
      </w:r>
    </w:p>
    <w:p>
      <w:pPr>
        <w:pBdr>
          <w:bottom w:val="single" w:color="C9A24E" w:sz="12" w:space="8"/>
        </w:pBdr>
        <w:spacing w:after="40" w:before="0"/>
      </w:pPr>
      <w:r>
        <w:rPr>
          <w:rFonts w:ascii="Arial" w:cs="Arial" w:eastAsia="Arial" w:hAnsi="Arial"/>
          <w:b w:val="false"/>
          <w:bCs w:val="false"/>
          <w:caps w:val="false"/>
          <w:color w:val="4A4740"/>
          <w:sz w:val="20"/>
          <w:szCs w:val="20"/>
        </w:rPr>
        <w:t xml:space="preserve">на мягкие резервуары и полевые склады горючего</w:t>
      </w:r>
    </w:p>
    <w:p>
      <w:pPr>
        <w:spacing w:after="240" w:before="200"/>
      </w:pPr>
      <w:r>
        <w:rPr>
          <w:rFonts w:ascii="Arial" w:cs="Arial" w:eastAsia="Arial" w:hAnsi="Arial"/>
          <w:b w:val="false"/>
          <w:bCs w:val="false"/>
          <w:caps w:val="false"/>
          <w:color w:val="6E6A62"/>
          <w:sz w:val="17"/>
          <w:szCs w:val="17"/>
        </w:rPr>
        <w:t xml:space="preserve">Заполните поля, которые известны. Для предварительного расчёта достаточно среды, объёма и района установки — остальное уточним при подборе.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5738"/>
      </w:tblGrid>
      <w:tr>
        <w:tc>
          <w:tcPr>
            <w:tcW w:type="dxa" w:w="9638"/>
            <w:gridSpan w:val="2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141417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C9A24E"/>
                <w:sz w:val="19"/>
                <w:szCs w:val="19"/>
              </w:rPr>
              <w:t xml:space="preserve">1  </w:t>
            </w:r>
            <w:r>
              <w:rPr>
                <w:rFonts w:ascii="Arial" w:cs="Arial" w:eastAsia="Arial" w:hAnsi="Arial"/>
                <w:b/>
                <w:bCs/>
                <w:caps/>
                <w:color w:val="FFFFFF"/>
                <w:spacing w:val="12"/>
                <w:sz w:val="19"/>
                <w:szCs w:val="19"/>
              </w:rPr>
              <w:t xml:space="preserve">Заказчик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Компания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ИНН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Ответственное лицо, должность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Телефон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Электронная почта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638"/>
            <w:gridSpan w:val="2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141417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C9A24E"/>
                <w:sz w:val="19"/>
                <w:szCs w:val="19"/>
              </w:rPr>
              <w:t xml:space="preserve">2  </w:t>
            </w:r>
            <w:r>
              <w:rPr>
                <w:rFonts w:ascii="Arial" w:cs="Arial" w:eastAsia="Arial" w:hAnsi="Arial"/>
                <w:b/>
                <w:bCs/>
                <w:caps/>
                <w:color w:val="FFFFFF"/>
                <w:spacing w:val="12"/>
                <w:sz w:val="19"/>
                <w:szCs w:val="19"/>
              </w:rPr>
              <w:t xml:space="preserve">Резервуар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Вид жидкости, нефтепродукта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>дизельное топливо, бензин, керосин, масло, КАС, вода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Объём одного резервуара, м³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>типоразмерный ряд 1–250 м³, по заказу до 500 м³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Количество резервуаров, шт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Общий объём хранения, м³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Назначение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Отдельная ёмкость    ☐ Полевой склад горючего    ☐ Мобильная нефтебаза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Исполнение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Стационарное    ☐ Транспортное (со стяжными ремнями)</w:t>
            </w:r>
          </w:p>
        </w:tc>
      </w:tr>
      <w:tr>
        <w:tc>
          <w:tcPr>
            <w:tcW w:type="dxa" w:w="9638"/>
            <w:gridSpan w:val="2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141417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C9A24E"/>
                <w:sz w:val="19"/>
                <w:szCs w:val="19"/>
              </w:rPr>
              <w:t xml:space="preserve">3  </w:t>
            </w:r>
            <w:r>
              <w:rPr>
                <w:rFonts w:ascii="Arial" w:cs="Arial" w:eastAsia="Arial" w:hAnsi="Arial"/>
                <w:b/>
                <w:bCs/>
                <w:caps/>
                <w:color w:val="FFFFFF"/>
                <w:spacing w:val="12"/>
                <w:sz w:val="19"/>
                <w:szCs w:val="19"/>
              </w:rPr>
              <w:t xml:space="preserve">Условия установки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Район установки (населённый пункт)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Диапазон температур на объекте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>рабочий диапазон материала −60…+80 °C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Характер площадки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>грунт, щебень, бетон; уклон, если есть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Срок эксплуатации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Сезонный    ☐ Круглогодичный    ☐ Разовая задача</w:t>
            </w:r>
          </w:p>
        </w:tc>
      </w:tr>
      <w:tr>
        <w:tc>
          <w:tcPr>
            <w:tcW w:type="dxa" w:w="9638"/>
            <w:gridSpan w:val="2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141417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C9A24E"/>
                <w:sz w:val="19"/>
                <w:szCs w:val="19"/>
              </w:rPr>
              <w:t xml:space="preserve">4  </w:t>
            </w:r>
            <w:r>
              <w:rPr>
                <w:rFonts w:ascii="Arial" w:cs="Arial" w:eastAsia="Arial" w:hAnsi="Arial"/>
                <w:b/>
                <w:bCs/>
                <w:caps/>
                <w:color w:val="FFFFFF"/>
                <w:spacing w:val="12"/>
                <w:sz w:val="19"/>
                <w:szCs w:val="19"/>
              </w:rPr>
              <w:t xml:space="preserve">Дополнительное оборудование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Отметьте нужное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Противофильтрационный полог ПФП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Насосная станция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Молниеотводы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Система пожаротушения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Стальное каре (берма)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Линия сливно-наливной арматуры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Осветительное оборудование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Напорно-всасывающие рукава и трубопроводы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Узел учёта (счётчики, раздаточные колонки)</w:t>
            </w:r>
          </w:p>
        </w:tc>
      </w:tr>
      <w:tr>
        <w:tc>
          <w:tcPr>
            <w:tcW w:type="dxa" w:w="9638"/>
            <w:gridSpan w:val="2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141417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C9A24E"/>
                <w:sz w:val="19"/>
                <w:szCs w:val="19"/>
              </w:rPr>
              <w:t xml:space="preserve">5  </w:t>
            </w:r>
            <w:r>
              <w:rPr>
                <w:rFonts w:ascii="Arial" w:cs="Arial" w:eastAsia="Arial" w:hAnsi="Arial"/>
                <w:b/>
                <w:bCs/>
                <w:caps/>
                <w:color w:val="FFFFFF"/>
                <w:spacing w:val="12"/>
                <w:sz w:val="19"/>
                <w:szCs w:val="19"/>
              </w:rPr>
              <w:t xml:space="preserve">Услуги и поставка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Шеф-монтаж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Требуется    ☐ Не требуется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Доставка до объекта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2B2B2B"/>
                <w:sz w:val="19"/>
                <w:szCs w:val="19"/>
              </w:rPr>
              <w:t xml:space="preserve">☐ Требуется    ☐ Не требуется</w:t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Адрес доставки / станция назначения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Требуемый срок поставки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shd w:fill="F7F4EE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aps w:val="false"/>
                <w:color w:val="2B2B2B"/>
                <w:sz w:val="19"/>
                <w:szCs w:val="19"/>
              </w:rPr>
              <w:t xml:space="preserve">Дополнительная информация</w:t>
            </w:r>
          </w:p>
        </w:tc>
        <w:tc>
          <w:tcPr>
            <w:tcW w:type="dxa" w:w="5738"/>
            <w:tcBorders>
              <w:top w:val="single" w:color="D6D2C8" w:sz="4"/>
              <w:left w:val="single" w:color="D6D2C8" w:sz="4"/>
              <w:bottom w:val="single" w:color="D6D2C8" w:sz="4"/>
              <w:right w:val="single" w:color="D6D2C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9A968C"/>
                <w:sz w:val="19"/>
                <w:szCs w:val="19"/>
              </w:rPr>
              <w:t xml:space="preserve"/>
            </w:r>
          </w:p>
        </w:tc>
      </w:tr>
    </w:tbl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caps w:val="false"/>
          <w:color w:val="2B2B2B"/>
          <w:sz w:val="19"/>
          <w:szCs w:val="19"/>
        </w:rPr>
        <w:t xml:space="preserve"/>
      </w:r>
    </w:p>
    <w:p>
      <w:pPr>
        <w:spacing w:after="260" w:before="0"/>
      </w:pPr>
      <w:r>
        <w:rPr>
          <w:rFonts w:ascii="Arial" w:cs="Arial" w:eastAsia="Arial" w:hAnsi="Arial"/>
          <w:b w:val="false"/>
          <w:bCs w:val="false"/>
          <w:caps w:val="false"/>
          <w:color w:val="4A4740"/>
          <w:sz w:val="18"/>
          <w:szCs w:val="18"/>
        </w:rPr>
        <w:t xml:space="preserve">Исполнитель (Ф. И. О., должность): ______________________________        Дата: ______________</w:t>
      </w:r>
    </w:p>
    <w:p>
      <w:pPr>
        <w:pBdr>
          <w:top w:val="single" w:color="C9A24E" w:sz="8" w:space="8"/>
        </w:pBdr>
        <w:spacing w:after="60" w:before="0"/>
      </w:pPr>
      <w:r>
        <w:rPr>
          <w:rFonts w:ascii="Arial" w:cs="Arial" w:eastAsia="Arial" w:hAnsi="Arial"/>
          <w:b w:val="false"/>
          <w:bCs w:val="false"/>
          <w:caps w:val="false"/>
          <w:color w:val="6E6A62"/>
          <w:sz w:val="17"/>
          <w:szCs w:val="17"/>
        </w:rPr>
        <w:t xml:space="preserve">Заполненный лист отправьте на </w:t>
      </w:r>
      <w:r>
        <w:rPr>
          <w:rFonts w:ascii="Arial" w:cs="Arial" w:eastAsia="Arial" w:hAnsi="Arial"/>
          <w:b/>
          <w:bCs/>
          <w:caps w:val="false"/>
          <w:color w:val="141417"/>
          <w:sz w:val="17"/>
          <w:szCs w:val="17"/>
        </w:rPr>
        <w:t xml:space="preserve">info@oneprom.ru</w:t>
      </w:r>
      <w:r>
        <w:rPr>
          <w:rFonts w:ascii="Arial" w:cs="Arial" w:eastAsia="Arial" w:hAnsi="Arial"/>
          <w:b w:val="false"/>
          <w:bCs w:val="false"/>
          <w:caps w:val="false"/>
          <w:color w:val="6E6A62"/>
          <w:sz w:val="17"/>
          <w:szCs w:val="17"/>
        </w:rPr>
        <w:t xml:space="preserve">  ·  +7 (343) 319-54-55  ·  oneprom.ru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caps w:val="false"/>
          <w:color w:val="918D84"/>
          <w:sz w:val="15"/>
          <w:szCs w:val="15"/>
        </w:rPr>
        <w:t xml:space="preserve">OnePROM — торговая марка ООО «1Пром» · ИНН 6678023479 · г. Екатеринбург, ул. Московская, 48А</w:t>
      </w:r>
    </w:p>
    <w:sectPr>
      <w:pgSz w:w="11906" w:h="16838" w:orient="portrait"/>
      <w:pgMar w:top="9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cc5a2040355dff89350207dcfd5263824f0070c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на мягкие резервуары</dc:title>
  <dc:creator>OnePROM</dc:creator>
  <cp:lastModifiedBy>Un-named</cp:lastModifiedBy>
  <cp:revision>1</cp:revision>
  <dcterms:created xsi:type="dcterms:W3CDTF">2026-09-14T12:11:52.756Z</dcterms:created>
  <dcterms:modified xsi:type="dcterms:W3CDTF">2026-09-14T12:11:52.756Z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