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638"/>
      </w:tblGrid>
      <w:tr>
        <w:tc>
          <w:tcPr>
            <w:tcW w:type="dxa" w:w="9638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000000" w:color="auto" w:val="clear"/>
            <w:tcMar>
              <w:top w:type="dxa" w:w="200"/>
              <w:left w:type="dxa" w:w="220"/>
              <w:bottom w:type="dxa" w:w="200"/>
              <w:right w:type="dxa" w:w="220"/>
            </w:tcMar>
          </w:tcPr>
          <w:p>
            <w:pPr>
              <w:spacing w:after="200"/>
            </w:pPr>
            <w:r>
              <w:drawing>
                <wp:inline distT="0" distB="0" distL="0" distR="0">
                  <wp:extent cx="1809750" cy="619125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B9B4A8"/>
                <w:spacing w:val="8"/>
                <w:sz w:val="16"/>
                <w:szCs w:val="16"/>
              </w:rPr>
              <w:t xml:space="preserve">Оборудование для автоцистерн и узлов налива</w:t>
            </w:r>
          </w:p>
        </w:tc>
      </w:tr>
    </w:tbl>
    <w:p>
      <w:pPr>
        <w:spacing w:after="0" w:before="0"/>
      </w:pPr>
      <w:r>
        <w:rPr>
          <w:rFonts w:ascii="Arial" w:cs="Arial" w:eastAsia="Arial" w:hAnsi="Arial"/>
          <w:b w:val="false"/>
          <w:bCs w:val="false"/>
          <w:caps w:val="false"/>
          <w:color w:val="2B2B2B"/>
          <w:sz w:val="19"/>
          <w:szCs w:val="19"/>
        </w:rPr>
        <w:t xml:space="preserve"/>
      </w:r>
    </w:p>
    <w:p>
      <w:pPr>
        <w:spacing w:after="40" w:before="300"/>
      </w:pPr>
      <w:r>
        <w:rPr>
          <w:rFonts w:ascii="Arial" w:cs="Arial" w:eastAsia="Arial" w:hAnsi="Arial"/>
          <w:b/>
          <w:bCs/>
          <w:caps w:val="false"/>
          <w:color w:val="141417"/>
          <w:spacing w:val="30"/>
          <w:sz w:val="30"/>
          <w:szCs w:val="30"/>
        </w:rPr>
        <w:t xml:space="preserve">ОПРОСНЫЙ ЛИСТ</w:t>
      </w:r>
    </w:p>
    <w:p>
      <w:pPr>
        <w:pBdr>
          <w:bottom w:val="single" w:color="C9A24E" w:sz="12" w:space="8"/>
        </w:pBdr>
        <w:spacing w:after="40" w:before="0"/>
      </w:pPr>
      <w:r>
        <w:rPr>
          <w:rFonts w:ascii="Arial" w:cs="Arial" w:eastAsia="Arial" w:hAnsi="Arial"/>
          <w:b w:val="false"/>
          <w:bCs w:val="false"/>
          <w:caps w:val="false"/>
          <w:color w:val="4A4740"/>
          <w:sz w:val="20"/>
          <w:szCs w:val="20"/>
        </w:rPr>
        <w:t xml:space="preserve">на оборудование Niehuser и Alfons Haar</w:t>
      </w:r>
    </w:p>
    <w:p>
      <w:pPr>
        <w:spacing w:after="240" w:before="200"/>
      </w:pPr>
      <w:r>
        <w:rPr>
          <w:rFonts w:ascii="Arial" w:cs="Arial" w:eastAsia="Arial" w:hAnsi="Arial"/>
          <w:b w:val="false"/>
          <w:bCs w:val="false"/>
          <w:caps w:val="false"/>
          <w:color w:val="6E6A62"/>
          <w:sz w:val="17"/>
          <w:szCs w:val="17"/>
        </w:rPr>
        <w:t xml:space="preserve">Заполните поля, которые известны. Незаполненные пункты уточним при подборе — для предварительного расчёта достаточно разделов 1 и 3.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900"/>
        <w:gridCol w:w="5738"/>
      </w:tblGrid>
      <w:tr>
        <w:tc>
          <w:tcPr>
            <w:tcW w:type="dxa" w:w="9638"/>
            <w:gridSpan w:val="2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14141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C9A24E"/>
                <w:sz w:val="19"/>
                <w:szCs w:val="19"/>
              </w:rPr>
              <w:t xml:space="preserve">1  </w:t>
            </w:r>
            <w:r>
              <w:rPr>
                <w:rFonts w:ascii="Arial" w:cs="Arial" w:eastAsia="Arial" w:hAnsi="Arial"/>
                <w:b/>
                <w:bCs/>
                <w:caps/>
                <w:color w:val="FFFFFF"/>
                <w:spacing w:val="12"/>
                <w:sz w:val="19"/>
                <w:szCs w:val="19"/>
              </w:rPr>
              <w:t xml:space="preserve">Заказчик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Организация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ИНН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Контактное лицо, должность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Телефон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E-mail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Объект (название, адрес)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9638"/>
            <w:gridSpan w:val="2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14141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C9A24E"/>
                <w:sz w:val="19"/>
                <w:szCs w:val="19"/>
              </w:rPr>
              <w:t xml:space="preserve">2  </w:t>
            </w:r>
            <w:r>
              <w:rPr>
                <w:rFonts w:ascii="Arial" w:cs="Arial" w:eastAsia="Arial" w:hAnsi="Arial"/>
                <w:b/>
                <w:bCs/>
                <w:caps/>
                <w:color w:val="FFFFFF"/>
                <w:spacing w:val="12"/>
                <w:sz w:val="19"/>
                <w:szCs w:val="19"/>
              </w:rPr>
              <w:t xml:space="preserve">Оборудование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Производитель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>☐ Niehuser    ☐ Alfons Haar    ☐ Не определён — нужен подбор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Направление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>☐ Арматура автоцистерн    ☐ Барабаны для рукавов    ☐ Идентификация топлива    ☐ Электроника и защита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Направление (продолжение)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>☐ Арматура АЗС    ☐ Измерительные камеры    ☐ Системы измерения    ☐ Запчасти и ЗИП</w:t>
            </w:r>
          </w:p>
        </w:tc>
      </w:tr>
      <w:tr>
        <w:tc>
          <w:tcPr>
            <w:tcW w:type="dxa" w:w="9638"/>
            <w:gridSpan w:val="2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14141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C9A24E"/>
                <w:sz w:val="19"/>
                <w:szCs w:val="19"/>
              </w:rPr>
              <w:t xml:space="preserve">3  </w:t>
            </w:r>
            <w:r>
              <w:rPr>
                <w:rFonts w:ascii="Arial" w:cs="Arial" w:eastAsia="Arial" w:hAnsi="Arial"/>
                <w:b/>
                <w:bCs/>
                <w:caps/>
                <w:color w:val="FFFFFF"/>
                <w:spacing w:val="12"/>
                <w:sz w:val="19"/>
                <w:szCs w:val="19"/>
              </w:rPr>
              <w:t xml:space="preserve">Транспорт или узел налива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Марка и модель автоцистерны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Количество отсеков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Объём отсеков, м³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Год выпуска техники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Хранимый продукт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>ДТ, бензин, авиатопливо, AdBlue, химия</w:t>
            </w:r>
          </w:p>
        </w:tc>
      </w:tr>
      <w:tr>
        <w:tc>
          <w:tcPr>
            <w:tcW w:type="dxa" w:w="9638"/>
            <w:gridSpan w:val="2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14141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C9A24E"/>
                <w:sz w:val="19"/>
                <w:szCs w:val="19"/>
              </w:rPr>
              <w:t xml:space="preserve">4  </w:t>
            </w:r>
            <w:r>
              <w:rPr>
                <w:rFonts w:ascii="Arial" w:cs="Arial" w:eastAsia="Arial" w:hAnsi="Arial"/>
                <w:b/>
                <w:bCs/>
                <w:caps/>
                <w:color w:val="FFFFFF"/>
                <w:spacing w:val="12"/>
                <w:sz w:val="19"/>
                <w:szCs w:val="19"/>
              </w:rPr>
              <w:t xml:space="preserve">Требуемые позиции</w:t>
            </w:r>
          </w:p>
        </w:tc>
      </w:tr>
      <w:tr>
        <w:tc>
          <w:tcPr>
            <w:tcW w:type="dxa" w:w="30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Артикул / модель</w:t>
            </w:r>
          </w:p>
        </w:tc>
        <w:tc>
          <w:tcPr>
            <w:tcW w:type="dxa" w:w="42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Наименование</w:t>
            </w:r>
          </w:p>
        </w:tc>
        <w:tc>
          <w:tcPr>
            <w:tcW w:type="dxa" w:w="24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Кол-во</w:t>
            </w:r>
          </w:p>
        </w:tc>
      </w:tr>
      <w:tr>
        <w:tc>
          <w:tcPr>
            <w:tcW w:type="dxa" w:w="30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/>
            </w:r>
          </w:p>
        </w:tc>
        <w:tc>
          <w:tcPr>
            <w:tcW w:type="dxa" w:w="42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/>
            </w:r>
          </w:p>
        </w:tc>
        <w:tc>
          <w:tcPr>
            <w:tcW w:type="dxa" w:w="24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30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/>
            </w:r>
          </w:p>
        </w:tc>
        <w:tc>
          <w:tcPr>
            <w:tcW w:type="dxa" w:w="42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/>
            </w:r>
          </w:p>
        </w:tc>
        <w:tc>
          <w:tcPr>
            <w:tcW w:type="dxa" w:w="24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30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/>
            </w:r>
          </w:p>
        </w:tc>
        <w:tc>
          <w:tcPr>
            <w:tcW w:type="dxa" w:w="42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/>
            </w:r>
          </w:p>
        </w:tc>
        <w:tc>
          <w:tcPr>
            <w:tcW w:type="dxa" w:w="24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30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/>
            </w:r>
          </w:p>
        </w:tc>
        <w:tc>
          <w:tcPr>
            <w:tcW w:type="dxa" w:w="42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/>
            </w:r>
          </w:p>
        </w:tc>
        <w:tc>
          <w:tcPr>
            <w:tcW w:type="dxa" w:w="24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30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/>
            </w:r>
          </w:p>
        </w:tc>
        <w:tc>
          <w:tcPr>
            <w:tcW w:type="dxa" w:w="42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/>
            </w:r>
          </w:p>
        </w:tc>
        <w:tc>
          <w:tcPr>
            <w:tcW w:type="dxa" w:w="24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30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/>
            </w:r>
          </w:p>
        </w:tc>
        <w:tc>
          <w:tcPr>
            <w:tcW w:type="dxa" w:w="42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/>
            </w:r>
          </w:p>
        </w:tc>
        <w:tc>
          <w:tcPr>
            <w:tcW w:type="dxa" w:w="24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9638"/>
            <w:gridSpan w:val="2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14141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C9A24E"/>
                <w:sz w:val="19"/>
                <w:szCs w:val="19"/>
              </w:rPr>
              <w:t xml:space="preserve">5  </w:t>
            </w:r>
            <w:r>
              <w:rPr>
                <w:rFonts w:ascii="Arial" w:cs="Arial" w:eastAsia="Arial" w:hAnsi="Arial"/>
                <w:b/>
                <w:bCs/>
                <w:caps/>
                <w:color w:val="FFFFFF"/>
                <w:spacing w:val="12"/>
                <w:sz w:val="19"/>
                <w:szCs w:val="19"/>
              </w:rPr>
              <w:t xml:space="preserve">Для донных клапанов и арматуры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Условный проход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>☐ DN80    ☐ DN100    ☐ Другой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Исполнение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>☐ Стандартное    ☐ Поворотное    ☐ Низкопрофильное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Тип присоединительного фланца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>TW, квадратный, другой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Блок пневмоуправления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>☐ Не требуется    ☐ На 1–2 отсека    ☐ На 3–4 отсека</w:t>
            </w:r>
          </w:p>
        </w:tc>
      </w:tr>
      <w:tr>
        <w:tc>
          <w:tcPr>
            <w:tcW w:type="dxa" w:w="9638"/>
            <w:gridSpan w:val="2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14141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C9A24E"/>
                <w:sz w:val="19"/>
                <w:szCs w:val="19"/>
              </w:rPr>
              <w:t xml:space="preserve">6  </w:t>
            </w:r>
            <w:r>
              <w:rPr>
                <w:rFonts w:ascii="Arial" w:cs="Arial" w:eastAsia="Arial" w:hAnsi="Arial"/>
                <w:b/>
                <w:bCs/>
                <w:caps/>
                <w:color w:val="FFFFFF"/>
                <w:spacing w:val="12"/>
                <w:sz w:val="19"/>
                <w:szCs w:val="19"/>
              </w:rPr>
              <w:t xml:space="preserve">Для узлов учёта и измерения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Тип счётчика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>☐ Объёмный    ☐ Турбинный    ☐ Со встроенным насосом    ☐ Нужен подбор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Схема отпуска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>☐ Мокрый рукав    ☐ Сухой рукав    ☐ Обе схемы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Требуемая точность учёта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>если задана нормативом или проектом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Дополнительные системы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>☐ Защита от смешения (COP)    ☐ Защита от перелива (OPS)    ☐ Инжектор присадок    ☐ Не требуются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Модель действующего оборудования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>если меняете существующий узел</w:t>
            </w:r>
          </w:p>
        </w:tc>
      </w:tr>
      <w:tr>
        <w:tc>
          <w:tcPr>
            <w:tcW w:type="dxa" w:w="9638"/>
            <w:gridSpan w:val="2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14141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C9A24E"/>
                <w:sz w:val="19"/>
                <w:szCs w:val="19"/>
              </w:rPr>
              <w:t xml:space="preserve">7  </w:t>
            </w:r>
            <w:r>
              <w:rPr>
                <w:rFonts w:ascii="Arial" w:cs="Arial" w:eastAsia="Arial" w:hAnsi="Arial"/>
                <w:b/>
                <w:bCs/>
                <w:caps/>
                <w:color w:val="FFFFFF"/>
                <w:spacing w:val="12"/>
                <w:sz w:val="19"/>
                <w:szCs w:val="19"/>
              </w:rPr>
              <w:t xml:space="preserve">Поставка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Требуемый срок поставки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Адрес доставки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Приложены ли фото шильдика / узла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>☐ Да    ☐ Нет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Дополнительные требования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/>
            </w:r>
          </w:p>
        </w:tc>
      </w:tr>
    </w:tbl>
    <w:p>
      <w:pPr>
        <w:spacing w:after="200" w:before="0"/>
      </w:pPr>
      <w:r>
        <w:rPr>
          <w:rFonts w:ascii="Arial" w:cs="Arial" w:eastAsia="Arial" w:hAnsi="Arial"/>
          <w:b w:val="false"/>
          <w:bCs w:val="false"/>
          <w:caps w:val="false"/>
          <w:color w:val="2B2B2B"/>
          <w:sz w:val="19"/>
          <w:szCs w:val="19"/>
        </w:rPr>
        <w:t xml:space="preserve"/>
      </w:r>
    </w:p>
    <w:p>
      <w:pPr>
        <w:spacing w:after="260" w:before="0"/>
      </w:pPr>
      <w:r>
        <w:rPr>
          <w:rFonts w:ascii="Arial" w:cs="Arial" w:eastAsia="Arial" w:hAnsi="Arial"/>
          <w:b w:val="false"/>
          <w:bCs w:val="false"/>
          <w:caps w:val="false"/>
          <w:color w:val="4A4740"/>
          <w:sz w:val="18"/>
          <w:szCs w:val="18"/>
        </w:rPr>
        <w:t xml:space="preserve">Исполнитель (Ф. И. О., должность): ______________________________        Дата: ______________</w:t>
      </w:r>
    </w:p>
    <w:p>
      <w:pPr>
        <w:pBdr>
          <w:top w:val="single" w:color="C9A24E" w:sz="8" w:space="8"/>
        </w:pBdr>
        <w:spacing w:after="60" w:before="0"/>
      </w:pPr>
      <w:r>
        <w:rPr>
          <w:rFonts w:ascii="Arial" w:cs="Arial" w:eastAsia="Arial" w:hAnsi="Arial"/>
          <w:b w:val="false"/>
          <w:bCs w:val="false"/>
          <w:caps w:val="false"/>
          <w:color w:val="6E6A62"/>
          <w:sz w:val="17"/>
          <w:szCs w:val="17"/>
        </w:rPr>
        <w:t xml:space="preserve">Заполненный лист отправьте на </w:t>
      </w:r>
      <w:r>
        <w:rPr>
          <w:rFonts w:ascii="Arial" w:cs="Arial" w:eastAsia="Arial" w:hAnsi="Arial"/>
          <w:b/>
          <w:bCs/>
          <w:caps w:val="false"/>
          <w:color w:val="141417"/>
          <w:sz w:val="17"/>
          <w:szCs w:val="17"/>
        </w:rPr>
        <w:t xml:space="preserve">info@oneprom.ru</w:t>
      </w:r>
      <w:r>
        <w:rPr>
          <w:rFonts w:ascii="Arial" w:cs="Arial" w:eastAsia="Arial" w:hAnsi="Arial"/>
          <w:b w:val="false"/>
          <w:bCs w:val="false"/>
          <w:caps w:val="false"/>
          <w:color w:val="6E6A62"/>
          <w:sz w:val="17"/>
          <w:szCs w:val="17"/>
        </w:rPr>
        <w:t xml:space="preserve">  ·  +7 (343) 319-54-55  ·  oneprom.ru</w:t>
      </w:r>
    </w:p>
    <w:p>
      <w:pPr>
        <w:spacing w:after="60" w:before="0"/>
      </w:pPr>
      <w:r>
        <w:rPr>
          <w:rFonts w:ascii="Arial" w:cs="Arial" w:eastAsia="Arial" w:hAnsi="Arial"/>
          <w:b w:val="false"/>
          <w:bCs w:val="false"/>
          <w:caps w:val="false"/>
          <w:color w:val="918D84"/>
          <w:sz w:val="15"/>
          <w:szCs w:val="15"/>
        </w:rPr>
        <w:t xml:space="preserve">OnePROM — торговая марка ООО «1Пром» · ИНН 6678023479 · г. Екатеринбург, ул. Московская, 48А</w:t>
      </w:r>
    </w:p>
    <w:sectPr>
      <w:pgSz w:w="11906" w:h="16838" w:orient="portrait"/>
      <w:pgMar w:top="900" w:right="900" w:bottom="800" w:left="9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image" Target="media/e9e6b7c143d92a175f0e3106d29c0c0b03354dde.png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Опросный лист на прожекторную мачту / молниеотвод</dc:title>
  <dc:creator>OnePROM</dc:creator>
  <cp:lastModifiedBy>Un-named</cp:lastModifiedBy>
  <cp:revision>1</cp:revision>
  <dcterms:created xsi:type="dcterms:W3CDTF">2026-09-05T14:12:28.300Z</dcterms:created>
  <dcterms:modified xsi:type="dcterms:W3CDTF">2026-09-05T14:12:28.311Z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